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D" w:rsidRPr="00232332" w:rsidRDefault="0090589D" w:rsidP="0090589D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</w:rPr>
      </w:pPr>
    </w:p>
    <w:p w:rsidR="0090589D" w:rsidRPr="00232332" w:rsidRDefault="0090589D" w:rsidP="00B851E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</w:rPr>
      </w:pPr>
      <w:r w:rsidRPr="00232332">
        <w:rPr>
          <w:rFonts w:ascii="Times New Roman" w:eastAsia="Calibri" w:hAnsi="Times New Roman" w:cs="Times New Roman"/>
          <w:sz w:val="24"/>
        </w:rPr>
        <w:t>ЗАТВЕРДЖЕНО</w:t>
      </w:r>
    </w:p>
    <w:p w:rsidR="0090589D" w:rsidRPr="00232332" w:rsidRDefault="0090589D" w:rsidP="00B851E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  <w:r w:rsidRPr="00232332">
        <w:rPr>
          <w:rFonts w:ascii="Times New Roman" w:eastAsia="Calibri" w:hAnsi="Times New Roman" w:cs="Times New Roman"/>
          <w:sz w:val="24"/>
        </w:rPr>
        <w:t xml:space="preserve">наказом </w:t>
      </w:r>
      <w:r>
        <w:rPr>
          <w:rFonts w:ascii="Times New Roman" w:eastAsia="Calibri" w:hAnsi="Times New Roman" w:cs="Times New Roman"/>
          <w:sz w:val="24"/>
        </w:rPr>
        <w:t>керівника Київської міської прокуратур</w:t>
      </w:r>
      <w:r w:rsidR="003466F9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232332">
        <w:rPr>
          <w:rFonts w:ascii="Times New Roman" w:eastAsia="Calibri" w:hAnsi="Times New Roman" w:cs="Times New Roman"/>
          <w:sz w:val="24"/>
        </w:rPr>
        <w:t xml:space="preserve">від </w:t>
      </w:r>
      <w:r w:rsidR="006B63D4">
        <w:rPr>
          <w:rFonts w:ascii="Times New Roman" w:eastAsia="Calibri" w:hAnsi="Times New Roman" w:cs="Times New Roman"/>
          <w:sz w:val="24"/>
        </w:rPr>
        <w:t xml:space="preserve">        </w:t>
      </w:r>
      <w:r w:rsidR="00B851E8">
        <w:rPr>
          <w:rFonts w:ascii="Times New Roman" w:eastAsia="Calibri" w:hAnsi="Times New Roman" w:cs="Times New Roman"/>
          <w:sz w:val="24"/>
        </w:rPr>
        <w:t xml:space="preserve">              </w:t>
      </w:r>
      <w:bookmarkStart w:id="0" w:name="_GoBack"/>
      <w:bookmarkEnd w:id="0"/>
      <w:r w:rsidR="006B63D4">
        <w:rPr>
          <w:rFonts w:ascii="Times New Roman" w:eastAsia="Calibri" w:hAnsi="Times New Roman" w:cs="Times New Roman"/>
          <w:sz w:val="24"/>
        </w:rPr>
        <w:t xml:space="preserve">     №</w:t>
      </w:r>
    </w:p>
    <w:p w:rsidR="0090589D" w:rsidRPr="00232332" w:rsidRDefault="0090589D" w:rsidP="0090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90589D" w:rsidRPr="00232332" w:rsidRDefault="0090589D" w:rsidP="0090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ОГОЛОШЕННЯ</w:t>
      </w:r>
    </w:p>
    <w:p w:rsidR="0090589D" w:rsidRPr="00232332" w:rsidRDefault="0090589D" w:rsidP="0090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332">
        <w:rPr>
          <w:rFonts w:ascii="Times New Roman" w:eastAsia="Calibri" w:hAnsi="Times New Roman" w:cs="Times New Roman"/>
          <w:b/>
          <w:sz w:val="24"/>
        </w:rPr>
        <w:t>про добір на період карантину</w:t>
      </w:r>
    </w:p>
    <w:p w:rsidR="0090589D" w:rsidRPr="00232332" w:rsidRDefault="0090589D" w:rsidP="00905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90589D" w:rsidRPr="00232332" w:rsidTr="006249E4">
        <w:tc>
          <w:tcPr>
            <w:tcW w:w="3330" w:type="dxa"/>
            <w:gridSpan w:val="2"/>
          </w:tcPr>
          <w:p w:rsidR="0090589D" w:rsidRPr="00232332" w:rsidRDefault="0090589D" w:rsidP="00E42A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Cs/>
                <w:sz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17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провідний спеціаліст </w:t>
            </w: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документального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 міської прокуратури</w:t>
            </w:r>
            <w:r w:rsidRPr="0023233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(категорія «В»)</w:t>
            </w:r>
          </w:p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90589D" w:rsidRPr="00232332" w:rsidTr="006249E4">
        <w:tc>
          <w:tcPr>
            <w:tcW w:w="9747" w:type="dxa"/>
            <w:gridSpan w:val="3"/>
            <w:vAlign w:val="center"/>
          </w:tcPr>
          <w:p w:rsidR="0090589D" w:rsidRPr="00232332" w:rsidRDefault="0090589D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Загальні умови</w:t>
            </w:r>
          </w:p>
          <w:p w:rsidR="0090589D" w:rsidRPr="00232332" w:rsidRDefault="0090589D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90589D" w:rsidRPr="00232332" w:rsidTr="006249E4">
        <w:trPr>
          <w:trHeight w:val="1750"/>
        </w:trPr>
        <w:tc>
          <w:tcPr>
            <w:tcW w:w="3330" w:type="dxa"/>
            <w:gridSpan w:val="2"/>
          </w:tcPr>
          <w:p w:rsidR="0090589D" w:rsidRPr="006108B0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108B0">
              <w:rPr>
                <w:rFonts w:ascii="Times New Roman" w:eastAsia="Calibri" w:hAnsi="Times New Roman" w:cs="Times New Roman"/>
                <w:sz w:val="24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90589D" w:rsidRPr="006108B0" w:rsidRDefault="0090589D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49" w:rsidRPr="006108B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ормує реєстри передач та своєчасно передає під підпис зареєстровану кореспонденцію  відповідно до  реєстрів, виконавцям</w:t>
            </w:r>
            <w:r w:rsidR="00CB6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визначеним у резолюціях керівництва. Опрацьовує, збирає та надає на вимогу працівників відділу у формі довідки данні, що містяться в ІС</w:t>
            </w:r>
            <w:r w:rsidR="008D5149"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«СЕД»</w:t>
            </w:r>
            <w:r w:rsidR="00610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89D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>дійснює отримання, реєстрацію вхідних, внутрішніх та вихідних документів з грифом обмеження доступу «Для службового користування», забезпечує їх передачу виконавцям  у порядку та строки встановлені</w:t>
            </w:r>
            <w:r w:rsidR="0090589D" w:rsidRPr="006108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Генеральної прокуратури України від 13.12.2017 №349. Формує номенклатурні справи з документами для службового користування,</w:t>
            </w: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складає внутрішній опис до них;</w:t>
            </w:r>
          </w:p>
          <w:p w:rsidR="0090589D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дійснює ведення книг обліку</w:t>
            </w:r>
            <w:r w:rsidR="00CB6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передбачених</w:t>
            </w:r>
            <w:r w:rsidR="0090589D" w:rsidRPr="006108B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Тимчасовою інструкцією з діловодства в органах прокуратури України, затвердженої наказом Генеральної прокуратури України від 12.02.2019 №27 та</w:t>
            </w:r>
            <w:r w:rsidR="0090589D" w:rsidRPr="006108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затверджена 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наказом Генеральної прокуратури України від 13.12.2017 №349</w:t>
            </w: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589D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забезпечує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реєстрацію вихідної кореспонденції 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>в базі  інформаційної системи «Система електронного документообігу органів прокуратури України»,  перевіряє правильність оформлення документів та додатків до них. Передає зареєстровані вихідні документи для відправлення до експедиції Київської міської прокуратури у години встановлені керівником відділу документального забезпечення. Знімає з контролю виконані документи у  встановлені</w:t>
            </w:r>
            <w:r w:rsidR="0090589D" w:rsidRPr="006108B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строки</w:t>
            </w:r>
            <w:r w:rsidRPr="006108B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90589D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формує, за вказівкою керівника або прокурорського працівника</w:t>
            </w:r>
            <w:r w:rsidR="00CB6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наглядові провадження. Долучає до наглядових проваджень виконані, правильно оформлені документи на підставі вказівки прокурорського працівника, забезпечує </w:t>
            </w: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їх належний облік та збереження;</w:t>
            </w:r>
          </w:p>
          <w:p w:rsidR="0090589D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кладає номенклатуру справ спільно з керівником структурного підрозділу. 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Здійснює оформлення та </w:t>
            </w:r>
            <w:r w:rsidR="00CB6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формування номенклатурних справ, 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їх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 для здачі в архів згідно з термінами зберігання, </w:t>
            </w:r>
            <w:r w:rsidR="00CB663D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Переліку документів, що створюються під час діяльності органів прокуратури України, із зазначенням строків зберігання документів, затверджений наказом Генеральної прокуратури України 08.01.2019 №2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</w:rPr>
              <w:t xml:space="preserve"> та номенклатурі справ відділу</w:t>
            </w:r>
            <w:r w:rsidR="009D52D7" w:rsidRPr="00610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89D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</w:t>
            </w:r>
            <w:r w:rsidR="0090589D"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дійснює ведення документообігу структурного підрозділу у порядку та строки встановлені</w:t>
            </w:r>
            <w:r w:rsidR="0090589D" w:rsidRPr="006108B0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Тимчасовою інструкцією з діловодства в органах прокуратури України, затвердженої наказом Генеральної прокуратури України від 12.02.2019 №27.</w:t>
            </w:r>
          </w:p>
          <w:p w:rsidR="008D5149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забезпечує ведення табеля обліку робочого часу працівників структурного підрозділу.</w:t>
            </w:r>
          </w:p>
          <w:p w:rsidR="008D5149" w:rsidRPr="006108B0" w:rsidRDefault="008D5149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бере участь у виконанні організаційних, програмних  завдань, а також у навчаннях та оперативних нарадах з питань діловодства. </w:t>
            </w: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Виконує інші службові доручення  та вказівки керівництва, у тому числі щодо забезпечення інших ділянок роботи.</w:t>
            </w:r>
          </w:p>
          <w:p w:rsidR="0090589D" w:rsidRPr="006108B0" w:rsidRDefault="0090589D" w:rsidP="008D514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- виконання вимог Тимчасової інструкції з діловодства в органах прокуратури України при прийманні, розпакуванні, опрацюванні, попередньому розгляді, реєстрації  та передачі вхідної кореспонденції, серед якої відомча кореспонденція, матеріали кримінальних проваджень, судові документи, матеріали з питань міжнародно-правового співробітництва, звернення громадян, кореспонденція, вилучена зі скриньки, отримана факсимільним та електронним зв’язком, а також документи з грифом обмеження доступу «Для службового користування».</w:t>
            </w:r>
          </w:p>
          <w:p w:rsidR="0090589D" w:rsidRPr="006108B0" w:rsidRDefault="0090589D" w:rsidP="00E42A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8B0">
              <w:rPr>
                <w:rFonts w:ascii="Times New Roman" w:hAnsi="Times New Roman" w:cs="Times New Roman"/>
                <w:sz w:val="24"/>
                <w:szCs w:val="24"/>
              </w:rPr>
              <w:t>- інші службові доручення та вказівки керівництва.</w:t>
            </w:r>
          </w:p>
        </w:tc>
      </w:tr>
      <w:tr w:rsidR="0090589D" w:rsidRPr="00232332" w:rsidTr="006249E4">
        <w:trPr>
          <w:trHeight w:val="630"/>
        </w:trPr>
        <w:tc>
          <w:tcPr>
            <w:tcW w:w="3330" w:type="dxa"/>
            <w:gridSpan w:val="2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посадовий оклад – </w:t>
            </w:r>
            <w:r w:rsidR="008D5149">
              <w:rPr>
                <w:rFonts w:ascii="Times New Roman" w:eastAsia="Calibri" w:hAnsi="Times New Roman" w:cs="Times New Roman"/>
                <w:sz w:val="24"/>
              </w:rPr>
              <w:t>5100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90589D" w:rsidRPr="00232332" w:rsidTr="006249E4">
        <w:tc>
          <w:tcPr>
            <w:tcW w:w="3330" w:type="dxa"/>
            <w:gridSpan w:val="2"/>
          </w:tcPr>
          <w:p w:rsidR="0090589D" w:rsidRPr="00232332" w:rsidRDefault="0090589D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Інформація про строковість призначення на посаду</w:t>
            </w:r>
          </w:p>
          <w:p w:rsidR="0090589D" w:rsidRPr="00232332" w:rsidRDefault="0090589D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6417" w:type="dxa"/>
          </w:tcPr>
          <w:p w:rsidR="0090589D" w:rsidRPr="00232332" w:rsidRDefault="0090589D" w:rsidP="00610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Строково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  <w:r w:rsidR="006108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  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90589D" w:rsidRPr="00232332" w:rsidTr="006249E4">
        <w:tc>
          <w:tcPr>
            <w:tcW w:w="3330" w:type="dxa"/>
            <w:gridSpan w:val="2"/>
          </w:tcPr>
          <w:p w:rsidR="0090589D" w:rsidRPr="00232332" w:rsidRDefault="0090589D" w:rsidP="00E42A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417" w:type="dxa"/>
          </w:tcPr>
          <w:p w:rsidR="0090589D" w:rsidRPr="00232332" w:rsidRDefault="0090589D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90589D" w:rsidRPr="00232332" w:rsidRDefault="0090589D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1) 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карантину, установленого з метою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запобігання поширенню на території України гострої респіраторної хвороби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COVID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-19, спричиненої 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коронавірусом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SARS</w:t>
            </w:r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CoV</w:t>
            </w:r>
            <w:proofErr w:type="spellEnd"/>
            <w:r w:rsidRPr="00232332">
              <w:rPr>
                <w:rFonts w:ascii="Times New Roman" w:eastAsia="Calibri" w:hAnsi="Times New Roman" w:cs="Times New Roman"/>
                <w:color w:val="000000"/>
                <w:sz w:val="24"/>
              </w:rPr>
              <w:t>-2, затвердженого постановою Кабінету Міністрів України від 22 квітня 2020 року №290 (далі – Порядок)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:rsidR="0090589D" w:rsidRPr="00232332" w:rsidRDefault="0090589D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2) резюме за формою згідно з додатком 2 до Порядку;</w:t>
            </w:r>
          </w:p>
          <w:p w:rsidR="0090589D" w:rsidRPr="00232332" w:rsidRDefault="0090589D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3) 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0589D" w:rsidRPr="00232332" w:rsidRDefault="0090589D" w:rsidP="00E42A0F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90589D" w:rsidRPr="00232332" w:rsidRDefault="0090589D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Інформація для участі у доборі подається до </w:t>
            </w:r>
            <w:r w:rsidR="006108B0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17.00                      12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жовтня </w:t>
            </w:r>
            <w:r w:rsidRPr="00232332">
              <w:rPr>
                <w:rFonts w:ascii="Times New Roman" w:eastAsia="Calibri" w:hAnsi="Times New Roman" w:cs="Times New Roman"/>
                <w:sz w:val="24"/>
              </w:rPr>
              <w:t>2020 року через Єдиний портал вакансій державної служби НАДС.</w:t>
            </w:r>
          </w:p>
          <w:p w:rsidR="0090589D" w:rsidRPr="00232332" w:rsidRDefault="0090589D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Про час та місце проведення запрошеним для проходження співбесіди кандидатам буде повідомлено додатково (електронною поштою)</w:t>
            </w:r>
          </w:p>
          <w:p w:rsidR="0090589D" w:rsidRPr="00232332" w:rsidRDefault="0090589D" w:rsidP="00E42A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</w:tc>
      </w:tr>
      <w:tr w:rsidR="0090589D" w:rsidRPr="00232332" w:rsidTr="006249E4">
        <w:tc>
          <w:tcPr>
            <w:tcW w:w="3330" w:type="dxa"/>
            <w:gridSpan w:val="2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6417" w:type="dxa"/>
          </w:tcPr>
          <w:p w:rsidR="0090589D" w:rsidRPr="00FA6017" w:rsidRDefault="0090589D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Ізбіцька Світлана Адольфівна,</w:t>
            </w:r>
          </w:p>
          <w:p w:rsidR="0090589D" w:rsidRPr="00FA6017" w:rsidRDefault="0090589D" w:rsidP="00E42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017">
              <w:rPr>
                <w:rFonts w:ascii="Times New Roman" w:hAnsi="Times New Roman"/>
                <w:sz w:val="24"/>
              </w:rPr>
              <w:t>(044) 527-72-32</w:t>
            </w:r>
          </w:p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  <w:r w:rsidRPr="00FA601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kadry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@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kyiv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gp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gov</w:t>
            </w:r>
            <w:proofErr w:type="spellEnd"/>
            <w:r w:rsidRPr="00FA6017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FA6017">
              <w:rPr>
                <w:rFonts w:ascii="Times New Roman" w:hAnsi="Times New Roman"/>
                <w:sz w:val="24"/>
                <w:lang w:val="en-US"/>
              </w:rPr>
              <w:t>ua</w:t>
            </w:r>
            <w:proofErr w:type="spellEnd"/>
            <w:r w:rsidRPr="00232332">
              <w:rPr>
                <w:rFonts w:ascii="Times New Roman" w:eastAsia="Calibri" w:hAnsi="Times New Roman" w:cs="Times New Roman"/>
                <w:sz w:val="8"/>
                <w:szCs w:val="8"/>
              </w:rPr>
              <w:t xml:space="preserve"> </w:t>
            </w:r>
          </w:p>
        </w:tc>
      </w:tr>
      <w:tr w:rsidR="0090589D" w:rsidRPr="00232332" w:rsidTr="006249E4">
        <w:tc>
          <w:tcPr>
            <w:tcW w:w="9747" w:type="dxa"/>
            <w:gridSpan w:val="3"/>
          </w:tcPr>
          <w:p w:rsidR="0090589D" w:rsidRPr="00232332" w:rsidRDefault="0090589D" w:rsidP="00E42A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90589D" w:rsidRPr="00232332" w:rsidTr="006249E4">
        <w:tc>
          <w:tcPr>
            <w:tcW w:w="675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655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Освіта</w:t>
            </w:r>
          </w:p>
        </w:tc>
        <w:tc>
          <w:tcPr>
            <w:tcW w:w="6417" w:type="dxa"/>
          </w:tcPr>
          <w:p w:rsidR="0090589D" w:rsidRPr="00232332" w:rsidRDefault="0090589D" w:rsidP="00525D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  <w:szCs w:val="24"/>
              </w:rPr>
              <w:t>вища освіта не нижче ступеня молодшого бакалавра або бакалавра</w:t>
            </w:r>
            <w:r w:rsidR="009D5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52D7" w:rsidRPr="003D463C">
              <w:rPr>
                <w:rFonts w:ascii="Times New Roman" w:hAnsi="Times New Roman" w:cs="Times New Roman"/>
                <w:sz w:val="24"/>
                <w:szCs w:val="24"/>
              </w:rPr>
              <w:t>(спеціальності: «Правознавство»/«Право»)</w:t>
            </w:r>
          </w:p>
        </w:tc>
      </w:tr>
      <w:tr w:rsidR="0090589D" w:rsidRPr="00232332" w:rsidTr="006249E4">
        <w:tc>
          <w:tcPr>
            <w:tcW w:w="675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655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Досвід роботи </w:t>
            </w:r>
          </w:p>
        </w:tc>
        <w:tc>
          <w:tcPr>
            <w:tcW w:w="6417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90589D" w:rsidRPr="00232332" w:rsidTr="006249E4">
        <w:tc>
          <w:tcPr>
            <w:tcW w:w="675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655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 xml:space="preserve">Володіння державною </w:t>
            </w:r>
          </w:p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мовою</w:t>
            </w:r>
          </w:p>
        </w:tc>
        <w:tc>
          <w:tcPr>
            <w:tcW w:w="6417" w:type="dxa"/>
          </w:tcPr>
          <w:p w:rsidR="0090589D" w:rsidRPr="00232332" w:rsidRDefault="0090589D" w:rsidP="00E42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32332">
              <w:rPr>
                <w:rFonts w:ascii="Times New Roman" w:eastAsia="Calibri" w:hAnsi="Times New Roman" w:cs="Times New Roman"/>
                <w:sz w:val="24"/>
              </w:rPr>
              <w:t>вільне володіння державною мовою</w:t>
            </w:r>
          </w:p>
        </w:tc>
      </w:tr>
    </w:tbl>
    <w:p w:rsidR="00532798" w:rsidRDefault="00532798"/>
    <w:sectPr w:rsidR="00532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9D"/>
    <w:rsid w:val="00056A3F"/>
    <w:rsid w:val="003466F9"/>
    <w:rsid w:val="0045752E"/>
    <w:rsid w:val="00525DC5"/>
    <w:rsid w:val="00532798"/>
    <w:rsid w:val="006108B0"/>
    <w:rsid w:val="006249E4"/>
    <w:rsid w:val="006B63D4"/>
    <w:rsid w:val="008D5149"/>
    <w:rsid w:val="0090589D"/>
    <w:rsid w:val="009D52D7"/>
    <w:rsid w:val="00B851E8"/>
    <w:rsid w:val="00CB663D"/>
    <w:rsid w:val="00D5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F772-FA8D-486D-9A0D-E5C9F395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4133</Words>
  <Characters>2356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2020-10-09T07:47:00Z</cp:lastPrinted>
  <dcterms:created xsi:type="dcterms:W3CDTF">2020-10-06T12:23:00Z</dcterms:created>
  <dcterms:modified xsi:type="dcterms:W3CDTF">2020-10-09T07:47:00Z</dcterms:modified>
</cp:coreProperties>
</file>